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93C" w:rsidRDefault="00CD593C" w:rsidP="0097052C">
      <w:pPr>
        <w:spacing w:line="300" w:lineRule="auto"/>
        <w:jc w:val="center"/>
        <w:rPr>
          <w:rFonts w:ascii="Arial Narrow" w:hAnsi="Arial Narrow"/>
          <w:b/>
          <w:sz w:val="24"/>
          <w:szCs w:val="24"/>
        </w:rPr>
      </w:pPr>
    </w:p>
    <w:p w:rsidR="00CD593C" w:rsidRDefault="00CD593C" w:rsidP="0097052C">
      <w:pPr>
        <w:spacing w:line="300" w:lineRule="auto"/>
        <w:jc w:val="center"/>
        <w:rPr>
          <w:rFonts w:ascii="Arial Narrow" w:hAnsi="Arial Narrow"/>
          <w:b/>
          <w:sz w:val="24"/>
          <w:szCs w:val="24"/>
        </w:rPr>
      </w:pPr>
    </w:p>
    <w:p w:rsidR="00CD593C" w:rsidRDefault="00CD593C" w:rsidP="0097052C">
      <w:pPr>
        <w:spacing w:line="300" w:lineRule="auto"/>
        <w:jc w:val="center"/>
        <w:rPr>
          <w:rFonts w:ascii="Arial Narrow" w:hAnsi="Arial Narrow"/>
          <w:b/>
          <w:sz w:val="24"/>
          <w:szCs w:val="24"/>
        </w:rPr>
      </w:pPr>
    </w:p>
    <w:p w:rsidR="001711D9" w:rsidRDefault="00CD593C" w:rsidP="00CD593C">
      <w:pPr>
        <w:spacing w:line="300" w:lineRule="auto"/>
        <w:rPr>
          <w:rFonts w:ascii="Arial Narrow" w:hAnsi="Arial Narrow"/>
          <w:b/>
          <w:sz w:val="24"/>
          <w:szCs w:val="24"/>
        </w:rPr>
      </w:pPr>
      <w:r w:rsidRPr="00820589">
        <w:rPr>
          <w:rFonts w:ascii="Arial Narrow" w:hAnsi="Arial Narrow"/>
          <w:b/>
          <w:sz w:val="24"/>
          <w:szCs w:val="24"/>
        </w:rPr>
        <w:t>Przedawnienie roszczeń z tytułu zachowku</w:t>
      </w:r>
    </w:p>
    <w:p w:rsidR="00820589" w:rsidRPr="005C131B" w:rsidRDefault="00820589" w:rsidP="0097052C">
      <w:pPr>
        <w:spacing w:line="300" w:lineRule="auto"/>
        <w:jc w:val="center"/>
        <w:rPr>
          <w:rFonts w:ascii="Arial Narrow" w:hAnsi="Arial Narrow"/>
          <w:sz w:val="24"/>
          <w:szCs w:val="24"/>
        </w:rPr>
      </w:pPr>
    </w:p>
    <w:p w:rsidR="0097052C" w:rsidRDefault="0097052C" w:rsidP="0097052C">
      <w:pPr>
        <w:spacing w:line="300" w:lineRule="auto"/>
        <w:jc w:val="both"/>
        <w:rPr>
          <w:rFonts w:ascii="Arial Narrow" w:eastAsia="Calibri" w:hAnsi="Arial Narrow"/>
          <w:sz w:val="24"/>
          <w:szCs w:val="24"/>
          <w:lang w:eastAsia="en-US"/>
        </w:rPr>
      </w:pPr>
      <w:r>
        <w:rPr>
          <w:rFonts w:ascii="Arial Narrow" w:eastAsia="Calibri" w:hAnsi="Arial Narrow"/>
          <w:sz w:val="24"/>
          <w:szCs w:val="24"/>
          <w:lang w:eastAsia="en-US"/>
        </w:rPr>
        <w:t>W przypadku sporządzenia przez spadkodawcę testamentu z pominięciem zstępnych, małżonka oraz rodziców</w:t>
      </w:r>
      <w:r w:rsidR="005C131B" w:rsidRPr="005C131B">
        <w:rPr>
          <w:rFonts w:ascii="Arial Narrow" w:eastAsia="Calibri" w:hAnsi="Arial Narrow"/>
          <w:sz w:val="24"/>
          <w:szCs w:val="24"/>
          <w:lang w:eastAsia="en-US"/>
        </w:rPr>
        <w:t xml:space="preserve"> spadkodawcy, którzy byliby powołani do </w:t>
      </w:r>
      <w:r>
        <w:rPr>
          <w:rFonts w:ascii="Arial Narrow" w:eastAsia="Calibri" w:hAnsi="Arial Narrow"/>
          <w:sz w:val="24"/>
          <w:szCs w:val="24"/>
          <w:lang w:eastAsia="en-US"/>
        </w:rPr>
        <w:t>dziedziczenia</w:t>
      </w:r>
      <w:r w:rsidR="005C131B" w:rsidRPr="005C131B">
        <w:rPr>
          <w:rFonts w:ascii="Arial Narrow" w:eastAsia="Calibri" w:hAnsi="Arial Narrow"/>
          <w:sz w:val="24"/>
          <w:szCs w:val="24"/>
          <w:lang w:eastAsia="en-US"/>
        </w:rPr>
        <w:t xml:space="preserve"> z ustawy</w:t>
      </w:r>
      <w:r>
        <w:rPr>
          <w:rFonts w:ascii="Arial Narrow" w:eastAsia="Calibri" w:hAnsi="Arial Narrow"/>
          <w:sz w:val="24"/>
          <w:szCs w:val="24"/>
          <w:lang w:eastAsia="en-US"/>
        </w:rPr>
        <w:t>,</w:t>
      </w:r>
      <w:r w:rsidR="00C0739D">
        <w:rPr>
          <w:rFonts w:ascii="Arial Narrow" w:eastAsia="Calibri" w:hAnsi="Arial Narrow"/>
          <w:sz w:val="24"/>
          <w:szCs w:val="24"/>
          <w:lang w:eastAsia="en-US"/>
        </w:rPr>
        <w:t xml:space="preserve"> gdyby testament nie został sporządzony,</w:t>
      </w:r>
      <w:r>
        <w:rPr>
          <w:rFonts w:ascii="Arial Narrow" w:eastAsia="Calibri" w:hAnsi="Arial Narrow"/>
          <w:sz w:val="24"/>
          <w:szCs w:val="24"/>
          <w:lang w:eastAsia="en-US"/>
        </w:rPr>
        <w:t xml:space="preserve"> </w:t>
      </w:r>
      <w:r w:rsidR="003D0F12">
        <w:rPr>
          <w:rFonts w:ascii="Arial Narrow" w:eastAsia="Calibri" w:hAnsi="Arial Narrow"/>
          <w:sz w:val="24"/>
          <w:szCs w:val="24"/>
          <w:lang w:eastAsia="en-US"/>
        </w:rPr>
        <w:t xml:space="preserve">zgodnie z art. 991 </w:t>
      </w:r>
      <w:r w:rsidR="003D0F12">
        <w:rPr>
          <w:rFonts w:ascii="Arial Narrow" w:eastAsia="Calibri" w:hAnsi="Arial Narrow"/>
          <w:i/>
          <w:sz w:val="24"/>
          <w:szCs w:val="24"/>
          <w:lang w:eastAsia="en-US"/>
        </w:rPr>
        <w:t xml:space="preserve">Kodeksu cywilnego </w:t>
      </w:r>
      <w:r w:rsidR="00C0739D">
        <w:rPr>
          <w:rFonts w:ascii="Arial Narrow" w:eastAsia="Calibri" w:hAnsi="Arial Narrow"/>
          <w:sz w:val="24"/>
          <w:szCs w:val="24"/>
          <w:lang w:eastAsia="en-US"/>
        </w:rPr>
        <w:t>są oni uprawnieni</w:t>
      </w:r>
      <w:r>
        <w:rPr>
          <w:rFonts w:ascii="Arial Narrow" w:eastAsia="Calibri" w:hAnsi="Arial Narrow"/>
          <w:sz w:val="24"/>
          <w:szCs w:val="24"/>
          <w:lang w:eastAsia="en-US"/>
        </w:rPr>
        <w:t xml:space="preserve"> do żądania </w:t>
      </w:r>
      <w:r w:rsidR="003D0F12">
        <w:rPr>
          <w:rFonts w:ascii="Arial Narrow" w:eastAsia="Calibri" w:hAnsi="Arial Narrow"/>
          <w:sz w:val="24"/>
          <w:szCs w:val="24"/>
          <w:lang w:eastAsia="en-US"/>
        </w:rPr>
        <w:t xml:space="preserve">zapłaty </w:t>
      </w:r>
      <w:r>
        <w:rPr>
          <w:rFonts w:ascii="Arial Narrow" w:eastAsia="Calibri" w:hAnsi="Arial Narrow"/>
          <w:sz w:val="24"/>
          <w:szCs w:val="24"/>
          <w:lang w:eastAsia="en-US"/>
        </w:rPr>
        <w:t>zachowku</w:t>
      </w:r>
      <w:r w:rsidR="003D0F12">
        <w:rPr>
          <w:rFonts w:ascii="Arial Narrow" w:eastAsia="Calibri" w:hAnsi="Arial Narrow"/>
          <w:sz w:val="24"/>
          <w:szCs w:val="24"/>
          <w:lang w:eastAsia="en-US"/>
        </w:rPr>
        <w:t xml:space="preserve"> na ich rzecz</w:t>
      </w:r>
      <w:r>
        <w:rPr>
          <w:rFonts w:ascii="Arial Narrow" w:eastAsia="Calibri" w:hAnsi="Arial Narrow"/>
          <w:sz w:val="24"/>
          <w:szCs w:val="24"/>
          <w:lang w:eastAsia="en-US"/>
        </w:rPr>
        <w:t>. Jego wysokość może wynosić dwie trzecie udziału spadkowego (j</w:t>
      </w:r>
      <w:r w:rsidRPr="0097052C">
        <w:rPr>
          <w:rFonts w:ascii="Arial Narrow" w:eastAsia="Calibri" w:hAnsi="Arial Narrow"/>
          <w:sz w:val="24"/>
          <w:szCs w:val="24"/>
          <w:lang w:eastAsia="en-US"/>
        </w:rPr>
        <w:t>eżeli uprawniony jest trwale niezdolny do pracy albo jeżeli uprawniony</w:t>
      </w:r>
      <w:r w:rsidR="003D0F12">
        <w:rPr>
          <w:rFonts w:ascii="Arial Narrow" w:eastAsia="Calibri" w:hAnsi="Arial Narrow"/>
          <w:sz w:val="24"/>
          <w:szCs w:val="24"/>
          <w:lang w:eastAsia="en-US"/>
        </w:rPr>
        <w:t xml:space="preserve"> zstępny</w:t>
      </w:r>
      <w:r w:rsidRPr="0097052C">
        <w:rPr>
          <w:rFonts w:ascii="Arial Narrow" w:eastAsia="Calibri" w:hAnsi="Arial Narrow"/>
          <w:sz w:val="24"/>
          <w:szCs w:val="24"/>
          <w:lang w:eastAsia="en-US"/>
        </w:rPr>
        <w:t xml:space="preserve"> jest małoletni</w:t>
      </w:r>
      <w:r w:rsidR="003D0F12">
        <w:rPr>
          <w:rFonts w:ascii="Arial Narrow" w:eastAsia="Calibri" w:hAnsi="Arial Narrow"/>
          <w:sz w:val="24"/>
          <w:szCs w:val="24"/>
          <w:lang w:eastAsia="en-US"/>
        </w:rPr>
        <w:t>) bądź połowę</w:t>
      </w:r>
      <w:r>
        <w:rPr>
          <w:rFonts w:ascii="Arial Narrow" w:eastAsia="Calibri" w:hAnsi="Arial Narrow"/>
          <w:sz w:val="24"/>
          <w:szCs w:val="24"/>
          <w:lang w:eastAsia="en-US"/>
        </w:rPr>
        <w:t xml:space="preserve"> </w:t>
      </w:r>
      <w:r w:rsidRPr="0097052C">
        <w:rPr>
          <w:rFonts w:ascii="Arial Narrow" w:eastAsia="Calibri" w:hAnsi="Arial Narrow"/>
          <w:sz w:val="24"/>
          <w:szCs w:val="24"/>
          <w:lang w:eastAsia="en-US"/>
        </w:rPr>
        <w:t>wartości tego udziału (</w:t>
      </w:r>
      <w:r w:rsidR="003D0F12">
        <w:rPr>
          <w:rFonts w:ascii="Arial Narrow" w:eastAsia="Calibri" w:hAnsi="Arial Narrow"/>
          <w:sz w:val="24"/>
          <w:szCs w:val="24"/>
          <w:lang w:eastAsia="en-US"/>
        </w:rPr>
        <w:t>w </w:t>
      </w:r>
      <w:r>
        <w:rPr>
          <w:rFonts w:ascii="Arial Narrow" w:eastAsia="Calibri" w:hAnsi="Arial Narrow"/>
          <w:sz w:val="24"/>
          <w:szCs w:val="24"/>
          <w:lang w:eastAsia="en-US"/>
        </w:rPr>
        <w:t>innych wypadkach)</w:t>
      </w:r>
      <w:r w:rsidRPr="0097052C">
        <w:rPr>
          <w:rFonts w:ascii="Arial Narrow" w:eastAsia="Calibri" w:hAnsi="Arial Narrow"/>
          <w:sz w:val="24"/>
          <w:szCs w:val="24"/>
          <w:lang w:eastAsia="en-US"/>
        </w:rPr>
        <w:t>.</w:t>
      </w:r>
      <w:r>
        <w:rPr>
          <w:rFonts w:ascii="Arial Narrow" w:eastAsia="Calibri" w:hAnsi="Arial Narrow"/>
          <w:sz w:val="24"/>
          <w:szCs w:val="24"/>
          <w:lang w:eastAsia="en-US"/>
        </w:rPr>
        <w:t xml:space="preserve"> </w:t>
      </w:r>
    </w:p>
    <w:p w:rsidR="0097052C" w:rsidRDefault="0097052C" w:rsidP="0097052C">
      <w:pPr>
        <w:spacing w:line="300" w:lineRule="auto"/>
        <w:jc w:val="both"/>
        <w:rPr>
          <w:rFonts w:ascii="Arial Narrow" w:eastAsia="Calibri" w:hAnsi="Arial Narrow"/>
          <w:sz w:val="24"/>
          <w:szCs w:val="24"/>
          <w:lang w:eastAsia="en-US"/>
        </w:rPr>
      </w:pPr>
    </w:p>
    <w:p w:rsidR="00C0739D" w:rsidRDefault="003D0F12" w:rsidP="00C0739D">
      <w:pPr>
        <w:spacing w:line="30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</w:t>
      </w:r>
      <w:r w:rsidR="00C0739D">
        <w:rPr>
          <w:rFonts w:ascii="Arial Narrow" w:hAnsi="Arial Narrow"/>
          <w:sz w:val="24"/>
          <w:szCs w:val="24"/>
        </w:rPr>
        <w:t>oże</w:t>
      </w:r>
      <w:r>
        <w:rPr>
          <w:rFonts w:ascii="Arial Narrow" w:hAnsi="Arial Narrow"/>
          <w:sz w:val="24"/>
          <w:szCs w:val="24"/>
        </w:rPr>
        <w:t xml:space="preserve"> również</w:t>
      </w:r>
      <w:r w:rsidR="00C0739D">
        <w:rPr>
          <w:rFonts w:ascii="Arial Narrow" w:hAnsi="Arial Narrow"/>
          <w:sz w:val="24"/>
          <w:szCs w:val="24"/>
        </w:rPr>
        <w:t xml:space="preserve"> zdarzyć się</w:t>
      </w:r>
      <w:r>
        <w:rPr>
          <w:rFonts w:ascii="Arial Narrow" w:hAnsi="Arial Narrow"/>
          <w:sz w:val="24"/>
          <w:szCs w:val="24"/>
        </w:rPr>
        <w:t xml:space="preserve"> taka sytuacja, gdy dziedziczenie nastąpi na podstawie ustawy, a uprawniony wprawdzie otrzyma przysługujący mu udział spadkowy, jednakże po</w:t>
      </w:r>
      <w:r w:rsidR="00C0739D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obliczeniu kwoty</w:t>
      </w:r>
      <w:r w:rsidR="00C0739D">
        <w:rPr>
          <w:rFonts w:ascii="Arial Narrow" w:hAnsi="Arial Narrow"/>
          <w:sz w:val="24"/>
          <w:szCs w:val="24"/>
        </w:rPr>
        <w:t xml:space="preserve"> zachowku</w:t>
      </w:r>
      <w:r>
        <w:rPr>
          <w:rFonts w:ascii="Arial Narrow" w:hAnsi="Arial Narrow"/>
          <w:sz w:val="24"/>
          <w:szCs w:val="24"/>
        </w:rPr>
        <w:t xml:space="preserve"> okazuje się, że</w:t>
      </w:r>
      <w:r w:rsidR="00C0739D">
        <w:rPr>
          <w:rFonts w:ascii="Arial Narrow" w:hAnsi="Arial Narrow"/>
          <w:sz w:val="24"/>
          <w:szCs w:val="24"/>
        </w:rPr>
        <w:t xml:space="preserve"> przekracza </w:t>
      </w:r>
      <w:r>
        <w:rPr>
          <w:rFonts w:ascii="Arial Narrow" w:hAnsi="Arial Narrow"/>
          <w:sz w:val="24"/>
          <w:szCs w:val="24"/>
        </w:rPr>
        <w:t xml:space="preserve">ona </w:t>
      </w:r>
      <w:r w:rsidR="00C0739D">
        <w:rPr>
          <w:rFonts w:ascii="Arial Narrow" w:hAnsi="Arial Narrow"/>
          <w:sz w:val="24"/>
          <w:szCs w:val="24"/>
        </w:rPr>
        <w:t>wartość majątku, jaki spadkobierca</w:t>
      </w:r>
      <w:r>
        <w:rPr>
          <w:rFonts w:ascii="Arial Narrow" w:hAnsi="Arial Narrow"/>
          <w:sz w:val="24"/>
          <w:szCs w:val="24"/>
        </w:rPr>
        <w:t xml:space="preserve"> rzeczywiście</w:t>
      </w:r>
      <w:r w:rsidR="00C0739D">
        <w:rPr>
          <w:rFonts w:ascii="Arial Narrow" w:hAnsi="Arial Narrow"/>
          <w:sz w:val="24"/>
          <w:szCs w:val="24"/>
        </w:rPr>
        <w:t xml:space="preserve"> otrzymał.</w:t>
      </w:r>
      <w:r>
        <w:rPr>
          <w:rFonts w:ascii="Arial Narrow" w:hAnsi="Arial Narrow"/>
          <w:sz w:val="24"/>
          <w:szCs w:val="24"/>
        </w:rPr>
        <w:t xml:space="preserve"> Taki przypadek ma miejsce, kiedy przykładowo spadkodawc</w:t>
      </w:r>
      <w:r w:rsidR="00142F17">
        <w:rPr>
          <w:rFonts w:ascii="Arial Narrow" w:hAnsi="Arial Narrow"/>
          <w:sz w:val="24"/>
          <w:szCs w:val="24"/>
        </w:rPr>
        <w:t>a przed śmiercią zacznie masowo dokonywać darowizn</w:t>
      </w:r>
      <w:r>
        <w:rPr>
          <w:rFonts w:ascii="Arial Narrow" w:hAnsi="Arial Narrow"/>
          <w:sz w:val="24"/>
          <w:szCs w:val="24"/>
        </w:rPr>
        <w:t>.</w:t>
      </w:r>
      <w:r w:rsidR="00C0739D">
        <w:rPr>
          <w:rFonts w:ascii="Arial Narrow" w:hAnsi="Arial Narrow"/>
          <w:sz w:val="24"/>
          <w:szCs w:val="24"/>
        </w:rPr>
        <w:t xml:space="preserve"> Wówczas</w:t>
      </w:r>
      <w:r w:rsidR="00142F17">
        <w:rPr>
          <w:rFonts w:ascii="Arial Narrow" w:hAnsi="Arial Narrow"/>
          <w:sz w:val="24"/>
          <w:szCs w:val="24"/>
        </w:rPr>
        <w:t xml:space="preserve"> na zasadzie art. 991 § 2 </w:t>
      </w:r>
      <w:r w:rsidR="00142F17">
        <w:rPr>
          <w:rFonts w:ascii="Arial Narrow" w:hAnsi="Arial Narrow"/>
          <w:i/>
          <w:sz w:val="24"/>
          <w:szCs w:val="24"/>
        </w:rPr>
        <w:t xml:space="preserve">Kodeksu cywilnego </w:t>
      </w:r>
      <w:r>
        <w:rPr>
          <w:rFonts w:ascii="Arial Narrow" w:hAnsi="Arial Narrow"/>
          <w:sz w:val="24"/>
          <w:szCs w:val="24"/>
        </w:rPr>
        <w:t xml:space="preserve">uprawnionemu </w:t>
      </w:r>
      <w:r w:rsidR="00C0739D">
        <w:rPr>
          <w:rFonts w:ascii="Arial Narrow" w:hAnsi="Arial Narrow"/>
          <w:sz w:val="24"/>
          <w:szCs w:val="24"/>
        </w:rPr>
        <w:t xml:space="preserve">będzie przysługiwać roszczenie o </w:t>
      </w:r>
      <w:r w:rsidR="002D6B92">
        <w:rPr>
          <w:rFonts w:ascii="Arial Narrow" w:hAnsi="Arial Narrow"/>
          <w:sz w:val="24"/>
          <w:szCs w:val="24"/>
        </w:rPr>
        <w:t xml:space="preserve">pokrycie lub </w:t>
      </w:r>
      <w:r w:rsidR="00C0739D">
        <w:rPr>
          <w:rFonts w:ascii="Arial Narrow" w:hAnsi="Arial Narrow"/>
          <w:sz w:val="24"/>
          <w:szCs w:val="24"/>
        </w:rPr>
        <w:t>wyrównanie zachowku bądź to do spadkobiercy ustawowego (jeśli otrzymał darowiznę podlegającą zaliczeniu na zachowek) bądź</w:t>
      </w:r>
      <w:r w:rsidR="002D6B92">
        <w:rPr>
          <w:rFonts w:ascii="Arial Narrow" w:hAnsi="Arial Narrow"/>
          <w:sz w:val="24"/>
          <w:szCs w:val="24"/>
        </w:rPr>
        <w:t xml:space="preserve"> zapisobiercy windykacyjnego lub</w:t>
      </w:r>
      <w:r w:rsidR="00C0739D">
        <w:rPr>
          <w:rFonts w:ascii="Arial Narrow" w:hAnsi="Arial Narrow"/>
          <w:sz w:val="24"/>
          <w:szCs w:val="24"/>
        </w:rPr>
        <w:t xml:space="preserve"> obdarowanego</w:t>
      </w:r>
      <w:r>
        <w:rPr>
          <w:rFonts w:ascii="Arial Narrow" w:hAnsi="Arial Narrow"/>
          <w:sz w:val="24"/>
          <w:szCs w:val="24"/>
        </w:rPr>
        <w:t xml:space="preserve"> przez spadkodawcę </w:t>
      </w:r>
      <w:r w:rsidR="002D6B92">
        <w:rPr>
          <w:rFonts w:ascii="Arial Narrow" w:hAnsi="Arial Narrow"/>
          <w:sz w:val="24"/>
          <w:szCs w:val="24"/>
        </w:rPr>
        <w:t>(gdy</w:t>
      </w:r>
      <w:r w:rsidR="00C0739D">
        <w:rPr>
          <w:rFonts w:ascii="Arial Narrow" w:hAnsi="Arial Narrow"/>
          <w:sz w:val="24"/>
          <w:szCs w:val="24"/>
        </w:rPr>
        <w:t xml:space="preserve"> nie jest on spadkobiercą ustawowym).</w:t>
      </w:r>
    </w:p>
    <w:p w:rsidR="003D0F12" w:rsidRDefault="003D0F12" w:rsidP="0097052C">
      <w:pPr>
        <w:spacing w:line="300" w:lineRule="auto"/>
        <w:jc w:val="both"/>
        <w:rPr>
          <w:rFonts w:ascii="Arial Narrow" w:eastAsia="Calibri" w:hAnsi="Arial Narrow"/>
          <w:sz w:val="24"/>
          <w:szCs w:val="24"/>
          <w:lang w:eastAsia="en-US"/>
        </w:rPr>
      </w:pPr>
    </w:p>
    <w:p w:rsidR="005C131B" w:rsidRPr="00C05730" w:rsidRDefault="002D6B92" w:rsidP="004A2540">
      <w:pPr>
        <w:spacing w:line="300" w:lineRule="auto"/>
        <w:jc w:val="both"/>
        <w:rPr>
          <w:rFonts w:ascii="Arial Narrow" w:eastAsia="Calibri" w:hAnsi="Arial Narrow"/>
          <w:sz w:val="24"/>
          <w:szCs w:val="24"/>
          <w:lang w:eastAsia="en-US"/>
        </w:rPr>
      </w:pPr>
      <w:r>
        <w:rPr>
          <w:rFonts w:ascii="Arial Narrow" w:eastAsia="Calibri" w:hAnsi="Arial Narrow"/>
          <w:sz w:val="24"/>
          <w:szCs w:val="24"/>
          <w:lang w:eastAsia="en-US"/>
        </w:rPr>
        <w:t>Nie można jednak zapominać, iż roszczenie o zapłatę zachowku ulega przedawnieniu</w:t>
      </w:r>
      <w:r w:rsidR="004A2540">
        <w:rPr>
          <w:rFonts w:ascii="Arial Narrow" w:eastAsia="Calibri" w:hAnsi="Arial Narrow"/>
          <w:sz w:val="24"/>
          <w:szCs w:val="24"/>
          <w:lang w:eastAsia="en-US"/>
        </w:rPr>
        <w:t xml:space="preserve"> w terminie </w:t>
      </w:r>
      <w:r w:rsidR="00C05730">
        <w:rPr>
          <w:rFonts w:ascii="Arial Narrow" w:eastAsia="Calibri" w:hAnsi="Arial Narrow"/>
          <w:sz w:val="24"/>
          <w:szCs w:val="24"/>
          <w:lang w:eastAsia="en-US"/>
        </w:rPr>
        <w:t xml:space="preserve">różnym od terminów ogólnych przewidzianych przepisami </w:t>
      </w:r>
      <w:r w:rsidR="00C05730">
        <w:rPr>
          <w:rFonts w:ascii="Arial Narrow" w:eastAsia="Calibri" w:hAnsi="Arial Narrow"/>
          <w:i/>
          <w:sz w:val="24"/>
          <w:szCs w:val="24"/>
          <w:lang w:eastAsia="en-US"/>
        </w:rPr>
        <w:t>Kodeksu cywilnego.</w:t>
      </w:r>
    </w:p>
    <w:p w:rsidR="002D6B92" w:rsidRPr="005C131B" w:rsidRDefault="002D6B92" w:rsidP="0097052C">
      <w:pPr>
        <w:spacing w:line="300" w:lineRule="auto"/>
        <w:rPr>
          <w:rFonts w:ascii="Arial Narrow" w:hAnsi="Arial Narrow"/>
          <w:sz w:val="24"/>
          <w:szCs w:val="24"/>
        </w:rPr>
      </w:pPr>
    </w:p>
    <w:p w:rsidR="00CD593C" w:rsidRPr="00CD593C" w:rsidRDefault="00CD593C" w:rsidP="00CD593C">
      <w:pPr>
        <w:spacing w:line="300" w:lineRule="auto"/>
        <w:rPr>
          <w:rFonts w:ascii="Arial Narrow" w:hAnsi="Arial Narrow"/>
          <w:b/>
          <w:sz w:val="24"/>
          <w:szCs w:val="24"/>
        </w:rPr>
      </w:pPr>
      <w:r w:rsidRPr="00CD593C">
        <w:rPr>
          <w:rFonts w:ascii="Arial Narrow" w:hAnsi="Arial Narrow"/>
          <w:b/>
          <w:sz w:val="24"/>
          <w:szCs w:val="24"/>
        </w:rPr>
        <w:t>Przedawnienie roszczeń do zachowku przy dziedziczeniu testamentowym.</w:t>
      </w:r>
    </w:p>
    <w:p w:rsidR="00CD593C" w:rsidRDefault="00CD593C" w:rsidP="00FA18DC">
      <w:pPr>
        <w:spacing w:line="300" w:lineRule="auto"/>
        <w:jc w:val="both"/>
        <w:rPr>
          <w:rFonts w:ascii="Arial Narrow" w:hAnsi="Arial Narrow"/>
          <w:sz w:val="24"/>
          <w:szCs w:val="24"/>
        </w:rPr>
      </w:pPr>
    </w:p>
    <w:p w:rsidR="00A56386" w:rsidRDefault="00A56386" w:rsidP="00FA18DC">
      <w:pPr>
        <w:spacing w:line="30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Zgodnie z art. 1007 </w:t>
      </w:r>
      <w:r w:rsidRPr="002D6B92">
        <w:rPr>
          <w:rFonts w:ascii="Arial Narrow" w:hAnsi="Arial Narrow"/>
          <w:i/>
          <w:sz w:val="24"/>
          <w:szCs w:val="24"/>
        </w:rPr>
        <w:t>Kodeksu cywilnego</w:t>
      </w:r>
      <w:r>
        <w:rPr>
          <w:rFonts w:ascii="Arial Narrow" w:hAnsi="Arial Narrow"/>
          <w:sz w:val="24"/>
          <w:szCs w:val="24"/>
        </w:rPr>
        <w:t xml:space="preserve">, </w:t>
      </w:r>
      <w:r w:rsidRPr="008600B8">
        <w:rPr>
          <w:rFonts w:ascii="Arial Narrow" w:hAnsi="Arial Narrow"/>
          <w:b/>
          <w:sz w:val="24"/>
          <w:szCs w:val="24"/>
        </w:rPr>
        <w:t>roszczenia o zapł</w:t>
      </w:r>
      <w:r w:rsidR="00C05730">
        <w:rPr>
          <w:rFonts w:ascii="Arial Narrow" w:hAnsi="Arial Narrow"/>
          <w:b/>
          <w:sz w:val="24"/>
          <w:szCs w:val="24"/>
        </w:rPr>
        <w:t>atę zachowku przedawniają się z </w:t>
      </w:r>
      <w:r w:rsidRPr="008600B8">
        <w:rPr>
          <w:rFonts w:ascii="Arial Narrow" w:hAnsi="Arial Narrow"/>
          <w:b/>
          <w:sz w:val="24"/>
          <w:szCs w:val="24"/>
        </w:rPr>
        <w:t>upływem 5 lat od dnia ogłoszenia testamentu.</w:t>
      </w:r>
      <w:r>
        <w:rPr>
          <w:rFonts w:ascii="Arial Narrow" w:hAnsi="Arial Narrow"/>
          <w:sz w:val="24"/>
          <w:szCs w:val="24"/>
        </w:rPr>
        <w:t xml:space="preserve"> W przypadku, gdy zostało sporządzone kilka testamentów, termin ten biegnie od dnia ogłoszenia ostatnieg</w:t>
      </w:r>
      <w:r w:rsidR="002D6B92">
        <w:rPr>
          <w:rFonts w:ascii="Arial Narrow" w:hAnsi="Arial Narrow"/>
          <w:sz w:val="24"/>
          <w:szCs w:val="24"/>
        </w:rPr>
        <w:t>o</w:t>
      </w:r>
      <w:r>
        <w:rPr>
          <w:rFonts w:ascii="Arial Narrow" w:hAnsi="Arial Narrow"/>
          <w:sz w:val="24"/>
          <w:szCs w:val="24"/>
        </w:rPr>
        <w:t xml:space="preserve"> ważnego testamentu.</w:t>
      </w:r>
    </w:p>
    <w:p w:rsidR="00B55225" w:rsidRDefault="00B55225" w:rsidP="00FA18DC">
      <w:pPr>
        <w:spacing w:line="300" w:lineRule="auto"/>
        <w:jc w:val="both"/>
        <w:rPr>
          <w:rFonts w:ascii="Arial Narrow" w:hAnsi="Arial Narrow"/>
          <w:sz w:val="24"/>
          <w:szCs w:val="24"/>
        </w:rPr>
      </w:pPr>
    </w:p>
    <w:p w:rsidR="00B55225" w:rsidRDefault="00B55225" w:rsidP="00FA18DC">
      <w:pPr>
        <w:spacing w:line="300" w:lineRule="auto"/>
        <w:jc w:val="both"/>
        <w:rPr>
          <w:rFonts w:ascii="Arial Narrow" w:hAnsi="Arial Narrow"/>
          <w:sz w:val="24"/>
          <w:szCs w:val="24"/>
        </w:rPr>
      </w:pPr>
      <w:r w:rsidRPr="00B55225">
        <w:rPr>
          <w:rFonts w:ascii="Arial Narrow" w:hAnsi="Arial Narrow"/>
          <w:sz w:val="24"/>
          <w:szCs w:val="24"/>
        </w:rPr>
        <w:t xml:space="preserve">Według art. 652 </w:t>
      </w:r>
      <w:r>
        <w:rPr>
          <w:rFonts w:ascii="Arial Narrow" w:hAnsi="Arial Narrow"/>
          <w:i/>
          <w:sz w:val="24"/>
          <w:szCs w:val="24"/>
        </w:rPr>
        <w:t>Kodeksu postępowania cywilnego</w:t>
      </w:r>
      <w:r w:rsidRPr="00B55225">
        <w:rPr>
          <w:rFonts w:ascii="Arial Narrow" w:hAnsi="Arial Narrow"/>
          <w:sz w:val="24"/>
          <w:szCs w:val="24"/>
        </w:rPr>
        <w:t xml:space="preserve"> o dokonanym otwarciu i ogłoszeniu testamentu zawiadamia się – w miarę możliwości – osoby, których rozrządzenia testamentowe dotyczą, oraz wykonawcę testamentu i kuratora spadku. Pośród tych osób znajdują się m.in. uprawnieni do zachowku. </w:t>
      </w:r>
      <w:r>
        <w:rPr>
          <w:rFonts w:ascii="Arial Narrow" w:hAnsi="Arial Narrow"/>
          <w:sz w:val="24"/>
          <w:szCs w:val="24"/>
        </w:rPr>
        <w:t>Osoby te powinny być jednak</w:t>
      </w:r>
      <w:r w:rsidRPr="00B55225">
        <w:rPr>
          <w:rFonts w:ascii="Arial Narrow" w:hAnsi="Arial Narrow"/>
          <w:sz w:val="24"/>
          <w:szCs w:val="24"/>
        </w:rPr>
        <w:t xml:space="preserve"> zawiadomione</w:t>
      </w:r>
      <w:r>
        <w:rPr>
          <w:rFonts w:ascii="Arial Narrow" w:hAnsi="Arial Narrow"/>
          <w:sz w:val="24"/>
          <w:szCs w:val="24"/>
        </w:rPr>
        <w:t xml:space="preserve"> tylko</w:t>
      </w:r>
      <w:r w:rsidRPr="00B55225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„</w:t>
      </w:r>
      <w:r w:rsidRPr="00B55225">
        <w:rPr>
          <w:rFonts w:ascii="Arial Narrow" w:hAnsi="Arial Narrow"/>
          <w:sz w:val="24"/>
          <w:szCs w:val="24"/>
        </w:rPr>
        <w:t>w miarę możliwości</w:t>
      </w:r>
      <w:r>
        <w:rPr>
          <w:rFonts w:ascii="Arial Narrow" w:hAnsi="Arial Narrow"/>
          <w:sz w:val="24"/>
          <w:szCs w:val="24"/>
        </w:rPr>
        <w:t>”</w:t>
      </w:r>
      <w:r w:rsidRPr="00B55225">
        <w:rPr>
          <w:rFonts w:ascii="Arial Narrow" w:hAnsi="Arial Narrow"/>
          <w:sz w:val="24"/>
          <w:szCs w:val="24"/>
        </w:rPr>
        <w:t>, co w praktyce może oznaczać, że o otwarciu i ogłoszeniu testamentu wiedzieć</w:t>
      </w:r>
      <w:r w:rsidR="00455A3D">
        <w:rPr>
          <w:rFonts w:ascii="Arial Narrow" w:hAnsi="Arial Narrow"/>
          <w:sz w:val="24"/>
          <w:szCs w:val="24"/>
        </w:rPr>
        <w:t xml:space="preserve"> </w:t>
      </w:r>
      <w:r w:rsidR="00455A3D">
        <w:rPr>
          <w:rFonts w:ascii="Arial Narrow" w:hAnsi="Arial Narrow"/>
          <w:i/>
          <w:sz w:val="24"/>
          <w:szCs w:val="24"/>
        </w:rPr>
        <w:t>de facto</w:t>
      </w:r>
      <w:r w:rsidRPr="00B55225">
        <w:rPr>
          <w:rFonts w:ascii="Arial Narrow" w:hAnsi="Arial Narrow"/>
          <w:sz w:val="24"/>
          <w:szCs w:val="24"/>
        </w:rPr>
        <w:t xml:space="preserve"> nie będą.</w:t>
      </w:r>
    </w:p>
    <w:p w:rsidR="005C131B" w:rsidRDefault="005C131B" w:rsidP="0097052C">
      <w:pPr>
        <w:spacing w:line="300" w:lineRule="auto"/>
        <w:rPr>
          <w:rFonts w:ascii="Arial Narrow" w:hAnsi="Arial Narrow"/>
          <w:sz w:val="24"/>
          <w:szCs w:val="24"/>
        </w:rPr>
      </w:pPr>
    </w:p>
    <w:p w:rsidR="00A56386" w:rsidRPr="00CD593C" w:rsidRDefault="00CD593C" w:rsidP="00CD593C">
      <w:pPr>
        <w:spacing w:line="30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Przedawnienie roszczeń przy dziedziczeniu ustawowym.</w:t>
      </w:r>
    </w:p>
    <w:p w:rsidR="00CD593C" w:rsidRDefault="00CD593C" w:rsidP="00CD593C">
      <w:pPr>
        <w:spacing w:line="300" w:lineRule="auto"/>
        <w:jc w:val="both"/>
        <w:rPr>
          <w:rFonts w:ascii="Arial Narrow" w:hAnsi="Arial Narrow"/>
          <w:sz w:val="24"/>
          <w:szCs w:val="24"/>
        </w:rPr>
      </w:pPr>
    </w:p>
    <w:p w:rsidR="00CD593C" w:rsidRDefault="00FB4266" w:rsidP="00CD593C">
      <w:pPr>
        <w:spacing w:line="30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 xml:space="preserve">W sytuacji, gdy na skutek dziedziczenia ustawowego, spadkobierca otrzyma udział spadkowy niższy od wyliczonej kwoty zachowku, będzie on </w:t>
      </w:r>
      <w:r>
        <w:rPr>
          <w:rFonts w:ascii="Arial Narrow" w:hAnsi="Arial Narrow"/>
          <w:b/>
          <w:sz w:val="24"/>
          <w:szCs w:val="24"/>
        </w:rPr>
        <w:t>uprawniony do wystąpienia o zapłatę zachowku</w:t>
      </w:r>
      <w:r w:rsidR="009F06B9" w:rsidRPr="008600B8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w terminie</w:t>
      </w:r>
      <w:r w:rsidR="00245387">
        <w:rPr>
          <w:rFonts w:ascii="Arial Narrow" w:hAnsi="Arial Narrow"/>
          <w:b/>
          <w:sz w:val="24"/>
          <w:szCs w:val="24"/>
        </w:rPr>
        <w:t xml:space="preserve"> 5 </w:t>
      </w:r>
      <w:r w:rsidR="009F06B9" w:rsidRPr="008600B8">
        <w:rPr>
          <w:rFonts w:ascii="Arial Narrow" w:hAnsi="Arial Narrow"/>
          <w:b/>
          <w:sz w:val="24"/>
          <w:szCs w:val="24"/>
        </w:rPr>
        <w:t>lat, lecz już nie od dnia ogłoszenia testamentu, a od dnia otwarcia spadku (śmierci spadkodawcy).</w:t>
      </w:r>
      <w:r w:rsidR="00CD593C">
        <w:rPr>
          <w:rFonts w:ascii="Arial Narrow" w:hAnsi="Arial Narrow"/>
          <w:b/>
          <w:sz w:val="24"/>
          <w:szCs w:val="24"/>
        </w:rPr>
        <w:t xml:space="preserve"> </w:t>
      </w:r>
    </w:p>
    <w:p w:rsidR="00CD593C" w:rsidRDefault="00CD593C" w:rsidP="00CD593C">
      <w:pPr>
        <w:spacing w:line="300" w:lineRule="auto"/>
        <w:jc w:val="both"/>
        <w:rPr>
          <w:rFonts w:ascii="Arial Narrow" w:hAnsi="Arial Narrow"/>
          <w:sz w:val="24"/>
          <w:szCs w:val="24"/>
        </w:rPr>
      </w:pPr>
    </w:p>
    <w:p w:rsidR="005C131B" w:rsidRDefault="00CD593C" w:rsidP="00CD593C">
      <w:pPr>
        <w:spacing w:line="30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Przerwanie biegu przedawnienia roszczenia o zachowek.</w:t>
      </w:r>
    </w:p>
    <w:p w:rsidR="00CD593C" w:rsidRPr="00CD593C" w:rsidRDefault="00CD593C" w:rsidP="00CD593C">
      <w:pPr>
        <w:spacing w:line="300" w:lineRule="auto"/>
        <w:jc w:val="both"/>
        <w:rPr>
          <w:rFonts w:ascii="Arial Narrow" w:hAnsi="Arial Narrow"/>
          <w:sz w:val="24"/>
          <w:szCs w:val="24"/>
        </w:rPr>
      </w:pPr>
    </w:p>
    <w:p w:rsidR="008600B8" w:rsidRDefault="00D60527" w:rsidP="008600B8">
      <w:pPr>
        <w:spacing w:line="300" w:lineRule="auto"/>
        <w:jc w:val="both"/>
        <w:rPr>
          <w:rFonts w:ascii="Arial Narrow" w:hAnsi="Arial Narrow"/>
          <w:sz w:val="24"/>
          <w:szCs w:val="24"/>
        </w:rPr>
      </w:pPr>
      <w:r w:rsidRPr="00D60527">
        <w:rPr>
          <w:rFonts w:ascii="Arial Narrow" w:hAnsi="Arial Narrow"/>
          <w:sz w:val="24"/>
          <w:szCs w:val="24"/>
        </w:rPr>
        <w:t>Uprawniony może przerwać bieg przedawni</w:t>
      </w:r>
      <w:r w:rsidR="009109C4">
        <w:rPr>
          <w:rFonts w:ascii="Arial Narrow" w:hAnsi="Arial Narrow"/>
          <w:sz w:val="24"/>
          <w:szCs w:val="24"/>
        </w:rPr>
        <w:t xml:space="preserve">enia </w:t>
      </w:r>
      <w:r w:rsidR="00CD593C">
        <w:rPr>
          <w:rFonts w:ascii="Arial Narrow" w:hAnsi="Arial Narrow"/>
          <w:sz w:val="24"/>
          <w:szCs w:val="24"/>
        </w:rPr>
        <w:t xml:space="preserve">roszczenia o zachowek </w:t>
      </w:r>
      <w:r w:rsidR="009109C4">
        <w:rPr>
          <w:rFonts w:ascii="Arial Narrow" w:hAnsi="Arial Narrow"/>
          <w:sz w:val="24"/>
          <w:szCs w:val="24"/>
        </w:rPr>
        <w:t>na zasadach ogólnych, a to poprzez</w:t>
      </w:r>
      <w:r w:rsidRPr="00D60527">
        <w:rPr>
          <w:rFonts w:ascii="Arial Narrow" w:hAnsi="Arial Narrow"/>
          <w:sz w:val="24"/>
          <w:szCs w:val="24"/>
        </w:rPr>
        <w:t xml:space="preserve"> czynności przed sądem lub innym organem powołanym do rozpoznawania spraw l</w:t>
      </w:r>
      <w:r w:rsidR="00FB4266">
        <w:rPr>
          <w:rFonts w:ascii="Arial Narrow" w:hAnsi="Arial Narrow"/>
          <w:sz w:val="24"/>
          <w:szCs w:val="24"/>
        </w:rPr>
        <w:t xml:space="preserve">ub egzekwowania </w:t>
      </w:r>
      <w:r w:rsidR="00CC0885">
        <w:rPr>
          <w:rFonts w:ascii="Arial Narrow" w:hAnsi="Arial Narrow"/>
          <w:sz w:val="24"/>
          <w:szCs w:val="24"/>
        </w:rPr>
        <w:t>praw spadkobiercy ustawowego</w:t>
      </w:r>
      <w:r w:rsidR="00AF580D">
        <w:rPr>
          <w:rFonts w:ascii="Arial Narrow" w:hAnsi="Arial Narrow"/>
          <w:sz w:val="24"/>
          <w:szCs w:val="24"/>
        </w:rPr>
        <w:t xml:space="preserve"> (np. zawezwanie do próby ugodowej)</w:t>
      </w:r>
      <w:r w:rsidR="00CC0885">
        <w:rPr>
          <w:rFonts w:ascii="Arial Narrow" w:hAnsi="Arial Narrow"/>
          <w:sz w:val="24"/>
          <w:szCs w:val="24"/>
        </w:rPr>
        <w:t xml:space="preserve"> </w:t>
      </w:r>
      <w:r w:rsidRPr="00D60527">
        <w:rPr>
          <w:rFonts w:ascii="Arial Narrow" w:hAnsi="Arial Narrow"/>
          <w:sz w:val="24"/>
          <w:szCs w:val="24"/>
        </w:rPr>
        <w:t>albo przed sądem polubownym</w:t>
      </w:r>
      <w:r w:rsidR="00AF580D">
        <w:rPr>
          <w:rFonts w:ascii="Arial Narrow" w:hAnsi="Arial Narrow"/>
          <w:sz w:val="24"/>
          <w:szCs w:val="24"/>
        </w:rPr>
        <w:t xml:space="preserve">, </w:t>
      </w:r>
      <w:r w:rsidRPr="00D60527">
        <w:rPr>
          <w:rFonts w:ascii="Arial Narrow" w:hAnsi="Arial Narrow"/>
          <w:sz w:val="24"/>
          <w:szCs w:val="24"/>
        </w:rPr>
        <w:t>przedsięwziętą bezpośrednio w celu dochodzenia lub ustalenia albo zaspokojeni</w:t>
      </w:r>
      <w:r w:rsidR="009109C4">
        <w:rPr>
          <w:rFonts w:ascii="Arial Narrow" w:hAnsi="Arial Narrow"/>
          <w:sz w:val="24"/>
          <w:szCs w:val="24"/>
        </w:rPr>
        <w:t>a lub zabezpieczenia</w:t>
      </w:r>
      <w:r w:rsidR="00CC0885">
        <w:rPr>
          <w:rFonts w:ascii="Arial Narrow" w:hAnsi="Arial Narrow"/>
          <w:sz w:val="24"/>
          <w:szCs w:val="24"/>
        </w:rPr>
        <w:t xml:space="preserve"> przedmiotowych roszczeń</w:t>
      </w:r>
      <w:r w:rsidR="009109C4">
        <w:rPr>
          <w:rFonts w:ascii="Arial Narrow" w:hAnsi="Arial Narrow"/>
          <w:sz w:val="24"/>
          <w:szCs w:val="24"/>
        </w:rPr>
        <w:t xml:space="preserve">. </w:t>
      </w:r>
      <w:r w:rsidR="008600B8" w:rsidRPr="008600B8">
        <w:rPr>
          <w:rFonts w:ascii="Arial Narrow" w:hAnsi="Arial Narrow"/>
          <w:sz w:val="24"/>
          <w:szCs w:val="24"/>
        </w:rPr>
        <w:t xml:space="preserve">Jest przy tym obojętne, w jakim postępowaniu takie dochodzenie praw się odbywa (o wydanie spadku, o dział spadku, o stwierdzenie praw do spadku, o uznanie testamentu za nieważny), jeśli tylko takie postępowanie zmierza do dochodzenia tych praw przed sądem. </w:t>
      </w:r>
      <w:r w:rsidR="00CC0885">
        <w:rPr>
          <w:rFonts w:ascii="Arial Narrow" w:hAnsi="Arial Narrow"/>
          <w:sz w:val="24"/>
          <w:szCs w:val="24"/>
        </w:rPr>
        <w:t>Nie</w:t>
      </w:r>
      <w:r w:rsidR="00966422">
        <w:rPr>
          <w:rFonts w:ascii="Arial Narrow" w:hAnsi="Arial Narrow"/>
          <w:sz w:val="24"/>
          <w:szCs w:val="24"/>
        </w:rPr>
        <w:t xml:space="preserve"> ma</w:t>
      </w:r>
      <w:r w:rsidR="00CC0885">
        <w:rPr>
          <w:rFonts w:ascii="Arial Narrow" w:hAnsi="Arial Narrow"/>
          <w:sz w:val="24"/>
          <w:szCs w:val="24"/>
        </w:rPr>
        <w:t xml:space="preserve"> również</w:t>
      </w:r>
      <w:r w:rsidR="008600B8" w:rsidRPr="008600B8">
        <w:rPr>
          <w:rFonts w:ascii="Arial Narrow" w:hAnsi="Arial Narrow"/>
          <w:sz w:val="24"/>
          <w:szCs w:val="24"/>
        </w:rPr>
        <w:t xml:space="preserve"> znaczenia, czy </w:t>
      </w:r>
      <w:r w:rsidR="00245387">
        <w:rPr>
          <w:rFonts w:ascii="Arial Narrow" w:hAnsi="Arial Narrow"/>
          <w:sz w:val="24"/>
          <w:szCs w:val="24"/>
        </w:rPr>
        <w:t>działanie</w:t>
      </w:r>
      <w:r w:rsidR="008600B8" w:rsidRPr="008600B8">
        <w:rPr>
          <w:rFonts w:ascii="Arial Narrow" w:hAnsi="Arial Narrow"/>
          <w:sz w:val="24"/>
          <w:szCs w:val="24"/>
        </w:rPr>
        <w:t xml:space="preserve"> to wyraża się w wytoczeniu odpowiedniego powództwa </w:t>
      </w:r>
      <w:r w:rsidR="00245387">
        <w:rPr>
          <w:rFonts w:ascii="Arial Narrow" w:hAnsi="Arial Narrow"/>
          <w:sz w:val="24"/>
          <w:szCs w:val="24"/>
        </w:rPr>
        <w:t>lub złożeniu wniosku, czy też w </w:t>
      </w:r>
      <w:r w:rsidR="008600B8" w:rsidRPr="008600B8">
        <w:rPr>
          <w:rFonts w:ascii="Arial Narrow" w:hAnsi="Arial Narrow"/>
          <w:sz w:val="24"/>
          <w:szCs w:val="24"/>
        </w:rPr>
        <w:t>podniesieniu zarzutu w postępowaniu wszczętym przez przeciwnika spadkobiercy ustawowego</w:t>
      </w:r>
      <w:r w:rsidR="008600B8">
        <w:rPr>
          <w:rFonts w:ascii="Arial Narrow" w:hAnsi="Arial Narrow"/>
          <w:sz w:val="24"/>
          <w:szCs w:val="24"/>
        </w:rPr>
        <w:t xml:space="preserve">. </w:t>
      </w:r>
      <w:r w:rsidR="00296533">
        <w:rPr>
          <w:rFonts w:ascii="Arial Narrow" w:hAnsi="Arial Narrow"/>
          <w:sz w:val="24"/>
          <w:szCs w:val="24"/>
        </w:rPr>
        <w:t>Nadto, oprócz powyższych działań, uprawniony może wystąpić</w:t>
      </w:r>
      <w:r w:rsidR="00966422">
        <w:rPr>
          <w:rFonts w:ascii="Arial Narrow" w:hAnsi="Arial Narrow"/>
          <w:sz w:val="24"/>
          <w:szCs w:val="24"/>
        </w:rPr>
        <w:t xml:space="preserve"> bezpośrednio</w:t>
      </w:r>
      <w:r w:rsidR="00296533">
        <w:rPr>
          <w:rFonts w:ascii="Arial Narrow" w:hAnsi="Arial Narrow"/>
          <w:sz w:val="24"/>
          <w:szCs w:val="24"/>
        </w:rPr>
        <w:t xml:space="preserve"> z powództwem o zapłatę zachowku</w:t>
      </w:r>
      <w:r w:rsidR="00CC0885">
        <w:rPr>
          <w:rFonts w:ascii="Arial Narrow" w:hAnsi="Arial Narrow"/>
          <w:sz w:val="24"/>
          <w:szCs w:val="24"/>
        </w:rPr>
        <w:t xml:space="preserve"> z </w:t>
      </w:r>
      <w:r w:rsidR="00966422">
        <w:rPr>
          <w:rFonts w:ascii="Arial Narrow" w:hAnsi="Arial Narrow"/>
          <w:sz w:val="24"/>
          <w:szCs w:val="24"/>
        </w:rPr>
        <w:t>analogicznym skutkiem</w:t>
      </w:r>
      <w:r w:rsidR="00296533">
        <w:rPr>
          <w:rFonts w:ascii="Arial Narrow" w:hAnsi="Arial Narrow"/>
          <w:sz w:val="24"/>
          <w:szCs w:val="24"/>
        </w:rPr>
        <w:t xml:space="preserve">. </w:t>
      </w:r>
    </w:p>
    <w:p w:rsidR="005C131B" w:rsidRDefault="005C131B" w:rsidP="008600B8">
      <w:pPr>
        <w:spacing w:line="300" w:lineRule="auto"/>
        <w:rPr>
          <w:rFonts w:ascii="Arial Narrow" w:eastAsia="Calibri" w:hAnsi="Arial Narrow"/>
          <w:sz w:val="24"/>
          <w:szCs w:val="24"/>
          <w:lang w:eastAsia="en-US"/>
        </w:rPr>
      </w:pPr>
    </w:p>
    <w:p w:rsidR="00296533" w:rsidRDefault="00296533" w:rsidP="00296533">
      <w:pPr>
        <w:spacing w:line="300" w:lineRule="auto"/>
        <w:jc w:val="both"/>
        <w:rPr>
          <w:rFonts w:ascii="Arial Narrow" w:eastAsia="Calibri" w:hAnsi="Arial Narrow"/>
          <w:sz w:val="24"/>
          <w:szCs w:val="24"/>
          <w:lang w:eastAsia="en-US"/>
        </w:rPr>
      </w:pPr>
      <w:r>
        <w:rPr>
          <w:rFonts w:ascii="Arial Narrow" w:eastAsia="Calibri" w:hAnsi="Arial Narrow"/>
          <w:sz w:val="24"/>
          <w:szCs w:val="24"/>
          <w:lang w:eastAsia="en-US"/>
        </w:rPr>
        <w:t>Oczywiście, oprócz powyższych czynności, uprawniony może przerwać bieg przedawnienia</w:t>
      </w:r>
      <w:r w:rsidR="00CC0885">
        <w:rPr>
          <w:rFonts w:ascii="Arial Narrow" w:eastAsia="Calibri" w:hAnsi="Arial Narrow"/>
          <w:sz w:val="24"/>
          <w:szCs w:val="24"/>
          <w:lang w:eastAsia="en-US"/>
        </w:rPr>
        <w:t xml:space="preserve"> także</w:t>
      </w:r>
      <w:r>
        <w:rPr>
          <w:rFonts w:ascii="Arial Narrow" w:eastAsia="Calibri" w:hAnsi="Arial Narrow"/>
          <w:sz w:val="24"/>
          <w:szCs w:val="24"/>
          <w:lang w:eastAsia="en-US"/>
        </w:rPr>
        <w:t xml:space="preserve"> </w:t>
      </w:r>
      <w:r w:rsidR="00AF580D">
        <w:rPr>
          <w:rFonts w:ascii="Arial Narrow" w:eastAsia="Calibri" w:hAnsi="Arial Narrow"/>
          <w:sz w:val="24"/>
          <w:szCs w:val="24"/>
          <w:lang w:eastAsia="en-US"/>
        </w:rPr>
        <w:t xml:space="preserve">poprzez </w:t>
      </w:r>
      <w:r w:rsidR="00D60527">
        <w:rPr>
          <w:rFonts w:ascii="Arial Narrow" w:eastAsia="Calibri" w:hAnsi="Arial Narrow"/>
          <w:sz w:val="24"/>
          <w:szCs w:val="24"/>
          <w:lang w:eastAsia="en-US"/>
        </w:rPr>
        <w:t xml:space="preserve">uznanie </w:t>
      </w:r>
      <w:r w:rsidR="00D60527" w:rsidRPr="00296533">
        <w:rPr>
          <w:rFonts w:ascii="Arial Narrow" w:hAnsi="Arial Narrow"/>
          <w:sz w:val="24"/>
          <w:szCs w:val="24"/>
        </w:rPr>
        <w:t>roszczenia przez osobę, przeciwko której roszczenie przysługuje</w:t>
      </w:r>
      <w:r w:rsidR="00D60527">
        <w:rPr>
          <w:rFonts w:ascii="Arial Narrow" w:hAnsi="Arial Narrow"/>
          <w:sz w:val="24"/>
          <w:szCs w:val="24"/>
        </w:rPr>
        <w:t xml:space="preserve"> (np. w odpowiedzi na skierowane do niej wezwanie uprawnionego)</w:t>
      </w:r>
      <w:r w:rsidR="009109C4">
        <w:rPr>
          <w:rFonts w:ascii="Arial Narrow" w:hAnsi="Arial Narrow"/>
          <w:sz w:val="24"/>
          <w:szCs w:val="24"/>
        </w:rPr>
        <w:t xml:space="preserve"> czy też </w:t>
      </w:r>
      <w:r w:rsidR="009109C4" w:rsidRPr="009109C4">
        <w:rPr>
          <w:rFonts w:ascii="Arial Narrow" w:hAnsi="Arial Narrow"/>
          <w:sz w:val="24"/>
          <w:szCs w:val="24"/>
        </w:rPr>
        <w:t>wszczęcie mediacji na podstawie umowy lub na wniosek jednej ze stron przed wszczęciem postępowania sądowego</w:t>
      </w:r>
      <w:r w:rsidR="009109C4">
        <w:rPr>
          <w:rFonts w:ascii="Arial Narrow" w:hAnsi="Arial Narrow"/>
          <w:sz w:val="24"/>
          <w:szCs w:val="24"/>
        </w:rPr>
        <w:t xml:space="preserve">. </w:t>
      </w:r>
    </w:p>
    <w:p w:rsidR="00296533" w:rsidRDefault="00296533" w:rsidP="008600B8">
      <w:pPr>
        <w:spacing w:line="300" w:lineRule="auto"/>
        <w:rPr>
          <w:rFonts w:ascii="Arial Narrow" w:hAnsi="Arial Narrow"/>
          <w:sz w:val="24"/>
          <w:szCs w:val="24"/>
        </w:rPr>
      </w:pPr>
    </w:p>
    <w:p w:rsidR="00CC0885" w:rsidRPr="00CD593C" w:rsidRDefault="00CD593C" w:rsidP="008600B8">
      <w:pPr>
        <w:spacing w:line="300" w:lineRule="auto"/>
        <w:rPr>
          <w:rFonts w:ascii="Arial Narrow" w:hAnsi="Arial Narrow"/>
          <w:b/>
          <w:sz w:val="24"/>
          <w:szCs w:val="24"/>
        </w:rPr>
      </w:pPr>
      <w:r w:rsidRPr="00CD593C">
        <w:rPr>
          <w:rFonts w:ascii="Arial Narrow" w:hAnsi="Arial Narrow"/>
          <w:b/>
          <w:sz w:val="24"/>
          <w:szCs w:val="24"/>
        </w:rPr>
        <w:t>Podsumowanie.</w:t>
      </w:r>
    </w:p>
    <w:p w:rsidR="00CD593C" w:rsidRDefault="00CD593C" w:rsidP="008600B8">
      <w:pPr>
        <w:spacing w:line="300" w:lineRule="auto"/>
        <w:rPr>
          <w:rFonts w:ascii="Arial Narrow" w:hAnsi="Arial Narrow"/>
          <w:sz w:val="24"/>
          <w:szCs w:val="24"/>
        </w:rPr>
      </w:pPr>
    </w:p>
    <w:p w:rsidR="00296533" w:rsidRDefault="00CC0885" w:rsidP="00CC0885">
      <w:pPr>
        <w:spacing w:line="30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Reasumując, roszczeń z tytułu zachowku można dochodzić nie tylko w sytuacji dziedziczenia testamentowego, ale również ustawowego. </w:t>
      </w:r>
      <w:r w:rsidR="00CD593C">
        <w:rPr>
          <w:rFonts w:ascii="Arial Narrow" w:hAnsi="Arial Narrow"/>
          <w:sz w:val="24"/>
          <w:szCs w:val="24"/>
        </w:rPr>
        <w:t>Klientom Kancelarii, zawsze zwracamy uwagę, że t</w:t>
      </w:r>
      <w:r>
        <w:rPr>
          <w:rFonts w:ascii="Arial Narrow" w:hAnsi="Arial Narrow"/>
          <w:sz w:val="24"/>
          <w:szCs w:val="24"/>
        </w:rPr>
        <w:t xml:space="preserve">erminy przedawnienia tych roszczeń odbiegają od ogólnych terminów określonych w </w:t>
      </w:r>
      <w:r>
        <w:rPr>
          <w:rFonts w:ascii="Arial Narrow" w:hAnsi="Arial Narrow"/>
          <w:i/>
          <w:sz w:val="24"/>
          <w:szCs w:val="24"/>
        </w:rPr>
        <w:t>Kodeksie cywilnym</w:t>
      </w:r>
      <w:r>
        <w:rPr>
          <w:rFonts w:ascii="Arial Narrow" w:hAnsi="Arial Narrow"/>
          <w:sz w:val="24"/>
          <w:szCs w:val="24"/>
        </w:rPr>
        <w:t xml:space="preserve"> i wynoszą odpowiednio: pięć lat od ogłoszenia testamentu i pięć lat od dnia otwarci</w:t>
      </w:r>
      <w:r w:rsidR="005F19EC">
        <w:rPr>
          <w:rFonts w:ascii="Arial Narrow" w:hAnsi="Arial Narrow"/>
          <w:sz w:val="24"/>
          <w:szCs w:val="24"/>
        </w:rPr>
        <w:t>a spadku. Bieg przedawnienia przerywa się poprzez podjęcie czynności przed sądem, na przykład przez wystąpienie z powództwem o zapłatę zachowku czy zawezwanie do próby ugodowej. Nadto, przedawnienie przerywa wszczęcie postępowania mediacyjnego czy uznanie roszczenia przez zobowiązanego.</w:t>
      </w:r>
    </w:p>
    <w:p w:rsidR="00CD593C" w:rsidRDefault="00CD593C" w:rsidP="00CC0885">
      <w:pPr>
        <w:spacing w:line="300" w:lineRule="auto"/>
        <w:jc w:val="both"/>
        <w:rPr>
          <w:rFonts w:ascii="Arial Narrow" w:hAnsi="Arial Narrow"/>
          <w:sz w:val="24"/>
          <w:szCs w:val="24"/>
        </w:rPr>
      </w:pPr>
    </w:p>
    <w:p w:rsidR="00CD593C" w:rsidRPr="00CC0885" w:rsidRDefault="00CD593C" w:rsidP="00CC0885">
      <w:pPr>
        <w:spacing w:line="30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Dziękujemy za przeczytanie powyższego wpisu. Prowadzimy sprawy o zachowek, jesteśmy do Państwa dyspozycji w sprawach o skomplikowanych stanach faktycznych. Więcej o informacji o zachowku znajdziecie Państwo w zakładce specjalizacje – prawo spadkowe. </w:t>
      </w:r>
      <w:bookmarkStart w:id="0" w:name="_GoBack"/>
      <w:r>
        <w:rPr>
          <w:rFonts w:ascii="Arial Narrow" w:hAnsi="Arial Narrow"/>
          <w:sz w:val="24"/>
          <w:szCs w:val="24"/>
        </w:rPr>
        <w:t xml:space="preserve">Zachęcamy do kontaktu </w:t>
      </w:r>
      <w:bookmarkEnd w:id="0"/>
      <w:r>
        <w:rPr>
          <w:rFonts w:ascii="Arial Narrow" w:hAnsi="Arial Narrow"/>
          <w:sz w:val="24"/>
          <w:szCs w:val="24"/>
        </w:rPr>
        <w:t xml:space="preserve">– kancelaria adwokacka zachowek Katowice. </w:t>
      </w:r>
    </w:p>
    <w:sectPr w:rsidR="00CD593C" w:rsidRPr="00CC0885" w:rsidSect="004A35DD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03D" w:rsidRDefault="00CA503D">
      <w:r>
        <w:separator/>
      </w:r>
    </w:p>
  </w:endnote>
  <w:endnote w:type="continuationSeparator" w:id="0">
    <w:p w:rsidR="00CA503D" w:rsidRDefault="00CA5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F0E" w:rsidRDefault="00787F0E" w:rsidP="004A35DD">
    <w:pPr>
      <w:pStyle w:val="Stopka"/>
      <w:tabs>
        <w:tab w:val="left" w:pos="5245"/>
        <w:tab w:val="left" w:pos="7371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5DD" w:rsidRPr="00991289" w:rsidRDefault="00CA503D" w:rsidP="004A35DD">
    <w:pPr>
      <w:pStyle w:val="Stopka"/>
      <w:tabs>
        <w:tab w:val="left" w:pos="7371"/>
      </w:tabs>
      <w:rPr>
        <w:rFonts w:ascii="Arial Narrow" w:hAnsi="Arial Narrow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-17.6pt;margin-top:-33.85pt;width:494.8pt;height:47.55pt;z-index:251662336" o:allowincell="f">
          <v:imagedata r:id="rId1" o:title=""/>
          <w10:wrap type="topAndBottom"/>
        </v:shape>
        <o:OLEObject Type="Embed" ProgID="CorelDraw.Graphic.15" ShapeID="_x0000_s2054" DrawAspect="Content" ObjectID="_1657354128" r:id="rId2"/>
      </w:pict>
    </w:r>
    <w:r w:rsidR="00991289">
      <w:tab/>
    </w:r>
    <w:r w:rsidR="00991289">
      <w:tab/>
    </w:r>
    <w:r w:rsidR="00991289">
      <w:tab/>
    </w:r>
    <w:r w:rsidR="00991289">
      <w:tab/>
    </w:r>
    <w:r w:rsidR="00991289" w:rsidRPr="00991289">
      <w:rPr>
        <w:rFonts w:ascii="Arial Narrow" w:hAnsi="Arial Narrow"/>
        <w:sz w:val="8"/>
      </w:rPr>
      <w:t>KW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03D" w:rsidRDefault="00CA503D">
      <w:r>
        <w:separator/>
      </w:r>
    </w:p>
  </w:footnote>
  <w:footnote w:type="continuationSeparator" w:id="0">
    <w:p w:rsidR="00CA503D" w:rsidRDefault="00CA50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5DD" w:rsidRDefault="00CA503D" w:rsidP="004A35DD">
    <w:pPr>
      <w:pStyle w:val="Nagwek"/>
      <w:tabs>
        <w:tab w:val="left" w:pos="7371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346.5pt;margin-top:3.25pt;width:126pt;height:74.3pt;z-index:251661312" o:allowincell="f">
          <v:imagedata r:id="rId1" o:title=""/>
          <w10:wrap type="topAndBottom"/>
        </v:shape>
        <o:OLEObject Type="Embed" ProgID="CorelDraw.Graphic.15" ShapeID="_x0000_s2053" DrawAspect="Content" ObjectID="_1657354127" r:id="rId2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C6321"/>
    <w:multiLevelType w:val="hybridMultilevel"/>
    <w:tmpl w:val="7430E808"/>
    <w:lvl w:ilvl="0" w:tplc="610CA92C">
      <w:start w:val="1"/>
      <w:numFmt w:val="upperRoman"/>
      <w:lvlText w:val="%1."/>
      <w:lvlJc w:val="left"/>
      <w:pPr>
        <w:ind w:left="72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">
    <w:nsid w:val="06454501"/>
    <w:multiLevelType w:val="hybridMultilevel"/>
    <w:tmpl w:val="FA482C02"/>
    <w:lvl w:ilvl="0" w:tplc="A6AECFD6">
      <w:start w:val="2"/>
      <w:numFmt w:val="upperRoman"/>
      <w:lvlText w:val="%1&gt;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F757BC"/>
    <w:multiLevelType w:val="hybridMultilevel"/>
    <w:tmpl w:val="78F0F876"/>
    <w:lvl w:ilvl="0" w:tplc="E7D210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03085"/>
    <w:multiLevelType w:val="hybridMultilevel"/>
    <w:tmpl w:val="FB860048"/>
    <w:lvl w:ilvl="0" w:tplc="B58E90EA">
      <w:start w:val="2"/>
      <w:numFmt w:val="upperRoman"/>
      <w:lvlText w:val="%1&gt;"/>
      <w:lvlJc w:val="left"/>
      <w:pPr>
        <w:ind w:left="16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>
    <w:nsid w:val="15A91DA6"/>
    <w:multiLevelType w:val="hybridMultilevel"/>
    <w:tmpl w:val="7FFEA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923C5"/>
    <w:multiLevelType w:val="hybridMultilevel"/>
    <w:tmpl w:val="466AC6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590425"/>
    <w:multiLevelType w:val="hybridMultilevel"/>
    <w:tmpl w:val="39FE1DA8"/>
    <w:lvl w:ilvl="0" w:tplc="23781E70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FF2679"/>
    <w:multiLevelType w:val="hybridMultilevel"/>
    <w:tmpl w:val="12A0DD44"/>
    <w:lvl w:ilvl="0" w:tplc="7EDA0E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254BCC"/>
    <w:multiLevelType w:val="hybridMultilevel"/>
    <w:tmpl w:val="1512B8AE"/>
    <w:lvl w:ilvl="0" w:tplc="984ACD50">
      <w:start w:val="2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D06EC6"/>
    <w:multiLevelType w:val="hybridMultilevel"/>
    <w:tmpl w:val="ECAAC3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DB8085D"/>
    <w:multiLevelType w:val="hybridMultilevel"/>
    <w:tmpl w:val="4D38BF40"/>
    <w:lvl w:ilvl="0" w:tplc="DDD00F10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E1E0EAD"/>
    <w:multiLevelType w:val="hybridMultilevel"/>
    <w:tmpl w:val="612435AA"/>
    <w:lvl w:ilvl="0" w:tplc="EF0E8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081AE0"/>
    <w:multiLevelType w:val="hybridMultilevel"/>
    <w:tmpl w:val="694612CE"/>
    <w:lvl w:ilvl="0" w:tplc="EF0E863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8B46A1"/>
    <w:multiLevelType w:val="hybridMultilevel"/>
    <w:tmpl w:val="12385A64"/>
    <w:lvl w:ilvl="0" w:tplc="FD3C925A">
      <w:start w:val="2"/>
      <w:numFmt w:val="upperRoman"/>
      <w:lvlText w:val="%1&gt;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2181083"/>
    <w:multiLevelType w:val="hybridMultilevel"/>
    <w:tmpl w:val="081C5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CA6BF6"/>
    <w:multiLevelType w:val="hybridMultilevel"/>
    <w:tmpl w:val="290E4D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260473"/>
    <w:multiLevelType w:val="hybridMultilevel"/>
    <w:tmpl w:val="12A0DD44"/>
    <w:lvl w:ilvl="0" w:tplc="7EDA0E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B439DF"/>
    <w:multiLevelType w:val="hybridMultilevel"/>
    <w:tmpl w:val="C708349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2"/>
  </w:num>
  <w:num w:numId="8">
    <w:abstractNumId w:val="6"/>
  </w:num>
  <w:num w:numId="9">
    <w:abstractNumId w:val="3"/>
  </w:num>
  <w:num w:numId="10">
    <w:abstractNumId w:val="0"/>
  </w:num>
  <w:num w:numId="11">
    <w:abstractNumId w:val="8"/>
  </w:num>
  <w:num w:numId="12">
    <w:abstractNumId w:val="13"/>
  </w:num>
  <w:num w:numId="13">
    <w:abstractNumId w:val="1"/>
  </w:num>
  <w:num w:numId="14">
    <w:abstractNumId w:val="15"/>
  </w:num>
  <w:num w:numId="15">
    <w:abstractNumId w:val="17"/>
  </w:num>
  <w:num w:numId="16">
    <w:abstractNumId w:val="7"/>
  </w:num>
  <w:num w:numId="17">
    <w:abstractNumId w:val="16"/>
  </w:num>
  <w:num w:numId="18">
    <w:abstractNumId w:val="4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67FB"/>
    <w:rsid w:val="0008353E"/>
    <w:rsid w:val="00083939"/>
    <w:rsid w:val="00111A17"/>
    <w:rsid w:val="00127BDB"/>
    <w:rsid w:val="001426AD"/>
    <w:rsid w:val="00142F17"/>
    <w:rsid w:val="001711D9"/>
    <w:rsid w:val="00184538"/>
    <w:rsid w:val="001A5547"/>
    <w:rsid w:val="001B7C63"/>
    <w:rsid w:val="001F637D"/>
    <w:rsid w:val="00211721"/>
    <w:rsid w:val="00245387"/>
    <w:rsid w:val="00263C9A"/>
    <w:rsid w:val="002762AE"/>
    <w:rsid w:val="00296533"/>
    <w:rsid w:val="002C6C97"/>
    <w:rsid w:val="002D6B92"/>
    <w:rsid w:val="00307E65"/>
    <w:rsid w:val="00327577"/>
    <w:rsid w:val="003D0F12"/>
    <w:rsid w:val="003D7D73"/>
    <w:rsid w:val="003E3202"/>
    <w:rsid w:val="00400381"/>
    <w:rsid w:val="004142F7"/>
    <w:rsid w:val="00455A3D"/>
    <w:rsid w:val="00485451"/>
    <w:rsid w:val="004A2540"/>
    <w:rsid w:val="004A35DD"/>
    <w:rsid w:val="004D535F"/>
    <w:rsid w:val="004E0CC6"/>
    <w:rsid w:val="00504CD8"/>
    <w:rsid w:val="00531FA0"/>
    <w:rsid w:val="0058044F"/>
    <w:rsid w:val="005A1C5A"/>
    <w:rsid w:val="005B0B2C"/>
    <w:rsid w:val="005C131B"/>
    <w:rsid w:val="005F19EC"/>
    <w:rsid w:val="006222FF"/>
    <w:rsid w:val="006833F7"/>
    <w:rsid w:val="0069068E"/>
    <w:rsid w:val="006C7CDF"/>
    <w:rsid w:val="006D1C0C"/>
    <w:rsid w:val="007775AB"/>
    <w:rsid w:val="00787F0E"/>
    <w:rsid w:val="007F00F9"/>
    <w:rsid w:val="007F4D8E"/>
    <w:rsid w:val="00820589"/>
    <w:rsid w:val="008600B8"/>
    <w:rsid w:val="009109C4"/>
    <w:rsid w:val="00924FE8"/>
    <w:rsid w:val="00966422"/>
    <w:rsid w:val="0097052C"/>
    <w:rsid w:val="00991289"/>
    <w:rsid w:val="009A2C49"/>
    <w:rsid w:val="009E2EF8"/>
    <w:rsid w:val="009F06B9"/>
    <w:rsid w:val="00A06E9F"/>
    <w:rsid w:val="00A467FB"/>
    <w:rsid w:val="00A56386"/>
    <w:rsid w:val="00A9342D"/>
    <w:rsid w:val="00AC0586"/>
    <w:rsid w:val="00AC63FE"/>
    <w:rsid w:val="00AD0EBE"/>
    <w:rsid w:val="00AF580D"/>
    <w:rsid w:val="00AF5A44"/>
    <w:rsid w:val="00AF6B38"/>
    <w:rsid w:val="00B55225"/>
    <w:rsid w:val="00B8005E"/>
    <w:rsid w:val="00B96EE7"/>
    <w:rsid w:val="00BF3AF9"/>
    <w:rsid w:val="00BF3E12"/>
    <w:rsid w:val="00C05730"/>
    <w:rsid w:val="00C0739D"/>
    <w:rsid w:val="00C37879"/>
    <w:rsid w:val="00CA503D"/>
    <w:rsid w:val="00CB675A"/>
    <w:rsid w:val="00CC0885"/>
    <w:rsid w:val="00CD593C"/>
    <w:rsid w:val="00D205EB"/>
    <w:rsid w:val="00D471E1"/>
    <w:rsid w:val="00D54F90"/>
    <w:rsid w:val="00D60527"/>
    <w:rsid w:val="00DC1D65"/>
    <w:rsid w:val="00E13D2C"/>
    <w:rsid w:val="00E14111"/>
    <w:rsid w:val="00E30E77"/>
    <w:rsid w:val="00E52C39"/>
    <w:rsid w:val="00E81752"/>
    <w:rsid w:val="00F368F9"/>
    <w:rsid w:val="00F53419"/>
    <w:rsid w:val="00F54766"/>
    <w:rsid w:val="00F84F1E"/>
    <w:rsid w:val="00FA18DC"/>
    <w:rsid w:val="00FB15CA"/>
    <w:rsid w:val="00FB4266"/>
    <w:rsid w:val="00FB6E27"/>
    <w:rsid w:val="00FE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7E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307E6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07E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4F1E"/>
  </w:style>
  <w:style w:type="paragraph" w:styleId="Akapitzlist">
    <w:name w:val="List Paragraph"/>
    <w:basedOn w:val="Normalny"/>
    <w:uiPriority w:val="34"/>
    <w:qFormat/>
    <w:rsid w:val="00AD0E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18453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62A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762AE"/>
  </w:style>
  <w:style w:type="character" w:styleId="Odwoanieprzypisukocowego">
    <w:name w:val="endnote reference"/>
    <w:basedOn w:val="Domylnaczcionkaakapitu"/>
    <w:uiPriority w:val="99"/>
    <w:semiHidden/>
    <w:unhideWhenUsed/>
    <w:rsid w:val="002762AE"/>
    <w:rPr>
      <w:vertAlign w:val="superscript"/>
    </w:rPr>
  </w:style>
  <w:style w:type="character" w:customStyle="1" w:styleId="alb">
    <w:name w:val="a_lb"/>
    <w:basedOn w:val="Domylnaczcionkaakapitu"/>
    <w:rsid w:val="002965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7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7621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42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5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2956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38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0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4577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7007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745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9469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602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194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4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7174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189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42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216F20-9053-4834-9501-939AA8C27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2</Pages>
  <Words>710</Words>
  <Characters>4261</Characters>
  <Application>Microsoft Office Word</Application>
  <DocSecurity>0</DocSecurity>
  <Lines>35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Josza</Company>
  <LinksUpToDate>false</LinksUpToDate>
  <CharactersWithSpaces>4962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Josza</dc:creator>
  <cp:lastModifiedBy>Maciej Siwka</cp:lastModifiedBy>
  <cp:revision>34</cp:revision>
  <cp:lastPrinted>2016-11-04T10:42:00Z</cp:lastPrinted>
  <dcterms:created xsi:type="dcterms:W3CDTF">2016-10-19T14:55:00Z</dcterms:created>
  <dcterms:modified xsi:type="dcterms:W3CDTF">2020-07-27T09:22:00Z</dcterms:modified>
</cp:coreProperties>
</file>